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textAlignment w:val="baseline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jc w:val="center"/>
        <w:textAlignment w:val="baseline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jc w:val="center"/>
        <w:textAlignment w:val="baseline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drawing>
          <wp:inline distT="0" distB="0" distL="0" distR="0">
            <wp:extent cx="437515" cy="646430"/>
            <wp:effectExtent l="0" t="0" r="0" b="0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330" t="-222" r="-330" b="-2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64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jc w:val="center"/>
        <w:textAlignment w:val="baseline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  <w:bookmarkStart w:id="0" w:name="_GoBack_Копия_1"/>
      <w:bookmarkStart w:id="1" w:name="_GoBack_Копия_1"/>
      <w:bookmarkEnd w:id="1"/>
    </w:p>
    <w:p>
      <w:pPr>
        <w:pStyle w:val="Normal"/>
        <w:jc w:val="center"/>
        <w:textAlignment w:val="baseline"/>
        <w:rPr>
          <w:rFonts w:ascii="Liberation Serif" w:hAnsi="Liberation Serif"/>
          <w:sz w:val="28"/>
          <w:szCs w:val="28"/>
        </w:rPr>
      </w:pPr>
      <w:r>
        <w:rPr>
          <w:rFonts w:cs="Liberation Serif" w:ascii="Liberation Serif" w:hAnsi="Liberation Serif"/>
          <w:b/>
          <w:sz w:val="28"/>
          <w:szCs w:val="28"/>
        </w:rPr>
        <w:t>Администрация Тугулымского муниципального округа</w:t>
      </w:r>
    </w:p>
    <w:p>
      <w:pPr>
        <w:pStyle w:val="Normal"/>
        <w:jc w:val="center"/>
        <w:textAlignment w:val="baseline"/>
        <w:rPr>
          <w:rFonts w:ascii="Liberation Serif" w:hAnsi="Liberation Serif"/>
          <w:sz w:val="28"/>
          <w:szCs w:val="28"/>
        </w:rPr>
      </w:pPr>
      <w:r>
        <w:rPr>
          <w:rFonts w:cs="Liberation Serif" w:ascii="Liberation Serif" w:hAnsi="Liberation Serif"/>
          <w:b/>
          <w:sz w:val="28"/>
          <w:szCs w:val="28"/>
        </w:rPr>
        <w:t>Свердловской области</w:t>
      </w:r>
    </w:p>
    <w:p>
      <w:pPr>
        <w:pStyle w:val="Normal"/>
        <w:jc w:val="center"/>
        <w:textAlignment w:val="baseline"/>
        <w:rPr>
          <w:rFonts w:ascii="Liberation Serif" w:hAnsi="Liberation Serif" w:cs="Liberation Serif"/>
          <w:b/>
          <w:sz w:val="24"/>
          <w:szCs w:val="24"/>
        </w:rPr>
      </w:pPr>
      <w:r>
        <w:rPr>
          <w:rFonts w:cs="Liberation Serif" w:ascii="Liberation Serif" w:hAnsi="Liberation Serif"/>
          <w:b/>
          <w:sz w:val="24"/>
          <w:szCs w:val="24"/>
        </w:rPr>
      </w:r>
    </w:p>
    <w:p>
      <w:pPr>
        <w:pStyle w:val="Normal"/>
        <w:jc w:val="center"/>
        <w:textAlignment w:val="baseline"/>
        <w:rPr>
          <w:rFonts w:ascii="Liberation Serif" w:hAnsi="Liberation Serif"/>
          <w:sz w:val="32"/>
          <w:szCs w:val="32"/>
        </w:rPr>
      </w:pPr>
      <w:r>
        <w:rPr>
          <w:rFonts w:cs="Liberation Serif" w:ascii="Liberation Serif" w:hAnsi="Liberation Serif"/>
          <w:b/>
          <w:sz w:val="32"/>
          <w:szCs w:val="32"/>
        </w:rPr>
        <w:t>П О С Т А Н О В Л Е Н И Е</w:t>
      </w:r>
    </w:p>
    <w:tbl>
      <w:tblPr>
        <w:tblW w:w="9631" w:type="dxa"/>
        <w:jc w:val="start"/>
        <w:tblInd w:w="18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9631"/>
      </w:tblGrid>
      <w:tr>
        <w:trPr>
          <w:trHeight w:val="279" w:hRule="atLeast"/>
        </w:trPr>
        <w:tc>
          <w:tcPr>
            <w:tcW w:w="9631" w:type="dxa"/>
            <w:tcBorders>
              <w:top w:val="double" w:sz="4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before="0" w:after="0"/>
              <w:ind w:hanging="0" w:start="-113" w:end="113"/>
              <w:jc w:val="star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en-US"/>
              </w:rPr>
              <w:t>от 05.03.2026                                         п.г.т. Тугулым                                                         № 115</w:t>
            </w:r>
          </w:p>
        </w:tc>
      </w:tr>
    </w:tbl>
    <w:p>
      <w:pPr>
        <w:pStyle w:val="Normal"/>
        <w:overflowPunct w:val="true"/>
        <w:jc w:val="center"/>
        <w:textAlignment w:val="baseline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rFonts w:cs="Liberation Serif" w:ascii="Liberation Serif" w:hAnsi="Liberation Serif"/>
          <w:b/>
          <w:sz w:val="24"/>
          <w:szCs w:val="24"/>
        </w:rPr>
        <w:t xml:space="preserve">О внесении изменений в постановление администрации </w:t>
      </w:r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rFonts w:cs="Liberation Serif" w:ascii="Liberation Serif" w:hAnsi="Liberation Serif"/>
          <w:b/>
          <w:sz w:val="24"/>
          <w:szCs w:val="24"/>
        </w:rPr>
        <w:t>Тугулымского муниципального округа от 02.04.2025 № 263</w:t>
      </w:r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rFonts w:cs="Liberation Serif" w:ascii="Liberation Serif" w:hAnsi="Liberation Serif"/>
          <w:b/>
          <w:sz w:val="24"/>
          <w:szCs w:val="24"/>
        </w:rPr>
        <w:t xml:space="preserve"> </w:t>
      </w:r>
      <w:r>
        <w:rPr>
          <w:rFonts w:cs="Liberation Serif" w:ascii="Liberation Serif" w:hAnsi="Liberation Serif"/>
          <w:b/>
          <w:sz w:val="24"/>
          <w:szCs w:val="24"/>
        </w:rPr>
        <w:t xml:space="preserve">«О призывной комиссии по мобилизации граждан Российской Федерации </w:t>
      </w:r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rFonts w:cs="Liberation Serif" w:ascii="Liberation Serif" w:hAnsi="Liberation Serif"/>
          <w:b/>
          <w:sz w:val="24"/>
          <w:szCs w:val="24"/>
        </w:rPr>
        <w:t>в Тугулымском муниципальном округе Свердловской области»</w:t>
      </w:r>
    </w:p>
    <w:p>
      <w:pPr>
        <w:pStyle w:val="Normal"/>
        <w:jc w:val="center"/>
        <w:rPr>
          <w:rFonts w:ascii="Liberation Serif" w:hAnsi="Liberation Serif" w:cs="Liberation Serif"/>
          <w:b/>
          <w:sz w:val="24"/>
          <w:szCs w:val="24"/>
        </w:rPr>
      </w:pPr>
      <w:r>
        <w:rPr>
          <w:rFonts w:cs="Liberation Serif" w:ascii="Liberation Serif" w:hAnsi="Liberation Serif"/>
          <w:b/>
          <w:sz w:val="24"/>
          <w:szCs w:val="24"/>
        </w:rPr>
      </w:r>
    </w:p>
    <w:p>
      <w:pPr>
        <w:pStyle w:val="Normal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ab/>
        <w:t>В соответствии со статьей 20 Федерального закона от 26 февраля 1997 года № 31-ФЗ «О мобилизационной подготовке и мобилизации в Российской Федерации», постановлением Правительства Российской Федерации от 30.12.2006 г. № 852 «Об утверждении Положения о призыве граждан Российской Федерации по мобилизации, приписанных к воинским частям (предназначенных в специальные формирования), для прохождения военной службы на воинских должностях гражданского персонала Вооруженных Сил Российской Федерации, других войск, воинских формирований, органов и специальных формирований», Указом Губернатора Свердловской области от 31.03.2022 № 173-УГ «О создании призывной комиссии по мобилизации граждан Российской Федерации на территории Свердловской области и призывных комиссий по мобилизации граждан Российской Федерации в муниципальных районах и городских округах, расположенных на территории Свердловской области», администрация Тугулымского муниципального  округа</w:t>
      </w:r>
      <w:r>
        <w:rPr>
          <w:rFonts w:cs="Liberation Serif" w:ascii="Liberation Serif" w:hAnsi="Liberation Serif"/>
          <w:spacing w:val="5"/>
          <w:sz w:val="24"/>
          <w:szCs w:val="24"/>
        </w:rPr>
        <w:t xml:space="preserve"> </w:t>
      </w:r>
    </w:p>
    <w:p>
      <w:pPr>
        <w:pStyle w:val="Normal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cs="Liberation Serif" w:ascii="Liberation Serif" w:hAnsi="Liberation Serif"/>
          <w:b/>
          <w:sz w:val="24"/>
          <w:szCs w:val="24"/>
        </w:rPr>
        <w:t>ПОСТАНОВЛЯЕТ:</w:t>
      </w:r>
    </w:p>
    <w:p>
      <w:pPr>
        <w:pStyle w:val="Normal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</w:tabs>
        <w:jc w:val="both"/>
        <w:rPr>
          <w:rFonts w:ascii="Liberation Serif" w:hAnsi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ab/>
        <w:t>1. В постановление администрации Тугулымского муниципального округа от 02.04.2025 № 263 «О призывной комиссии по мобилизации граждан Российской Федерации в Тугулымском муниципальном округе Свердловской области» внести изменения, изложив             Приложение № 1 в новой редакции.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 xml:space="preserve">           </w:t>
      </w:r>
      <w:r>
        <w:rPr>
          <w:rFonts w:cs="Liberation Serif" w:ascii="Liberation Serif" w:hAnsi="Liberation Serif"/>
          <w:sz w:val="24"/>
          <w:szCs w:val="24"/>
        </w:rPr>
        <w:tab/>
        <w:t xml:space="preserve">2.   Настоящее постановление вступает в силу после его подписания. 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ab/>
        <w:t>3. Настоящее постановление разместить на официальном сайте администрации Тугулымского муниципального округа.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ab/>
        <w:t xml:space="preserve">4.  Контроль исполнения </w:t>
      </w:r>
      <w:r>
        <w:rPr>
          <w:rFonts w:cs="Liberation Serif" w:ascii="Liberation Serif" w:hAnsi="Liberation Serif"/>
          <w:sz w:val="24"/>
          <w:szCs w:val="24"/>
        </w:rPr>
        <w:t xml:space="preserve">настоящего </w:t>
      </w:r>
      <w:r>
        <w:rPr>
          <w:rFonts w:cs="Liberation Serif" w:ascii="Liberation Serif" w:hAnsi="Liberation Serif"/>
          <w:sz w:val="24"/>
          <w:szCs w:val="24"/>
        </w:rPr>
        <w:t>постановления оставляю за собой.</w:t>
      </w:r>
    </w:p>
    <w:p>
      <w:pPr>
        <w:pStyle w:val="Normal"/>
        <w:tabs>
          <w:tab w:val="clear" w:pos="708"/>
          <w:tab w:val="left" w:pos="0" w:leader="none"/>
        </w:tabs>
        <w:jc w:val="both"/>
        <w:rPr>
          <w:rFonts w:ascii="Liberation Serif" w:hAnsi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ab/>
        <w:tab/>
      </w:r>
    </w:p>
    <w:p>
      <w:pPr>
        <w:pStyle w:val="Normal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cs="Liberation Serif" w:ascii="Liberation Serif" w:hAnsi="Liberation Serif"/>
          <w:b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cs="Liberation Serif" w:ascii="Liberation Serif" w:hAnsi="Liberation Serif"/>
          <w:b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Глава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Тугулымского муниципального округа                                                                     А.Н. Поздеев</w:t>
      </w:r>
    </w:p>
    <w:p>
      <w:pPr>
        <w:pStyle w:val="Normal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jc w:val="end"/>
        <w:rPr>
          <w:rFonts w:ascii="Liberation Serif" w:hAnsi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Приложение № 1</w:t>
      </w:r>
    </w:p>
    <w:p>
      <w:pPr>
        <w:pStyle w:val="Normal"/>
        <w:jc w:val="end"/>
        <w:rPr>
          <w:rFonts w:ascii="Liberation Serif" w:hAnsi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к постановлению администрации</w:t>
      </w:r>
    </w:p>
    <w:p>
      <w:pPr>
        <w:pStyle w:val="Normal"/>
        <w:jc w:val="end"/>
        <w:rPr>
          <w:rFonts w:ascii="Liberation Serif" w:hAnsi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Тугулымского муниципального округа</w:t>
      </w:r>
    </w:p>
    <w:p>
      <w:pPr>
        <w:pStyle w:val="Normal"/>
        <w:jc w:val="end"/>
        <w:rPr>
          <w:rFonts w:ascii="Liberation Serif" w:hAnsi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от 05.03.2026 № 115</w:t>
      </w:r>
    </w:p>
    <w:p>
      <w:pPr>
        <w:pStyle w:val="Normal"/>
        <w:jc w:val="end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jc w:val="end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rFonts w:cs="Liberation Serif" w:ascii="Liberation Serif" w:hAnsi="Liberation Serif"/>
          <w:b/>
          <w:sz w:val="24"/>
          <w:szCs w:val="24"/>
        </w:rPr>
        <w:t>Основной состав</w:t>
      </w:r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rFonts w:cs="Liberation Serif" w:ascii="Liberation Serif" w:hAnsi="Liberation Serif"/>
          <w:b/>
          <w:sz w:val="24"/>
          <w:szCs w:val="24"/>
        </w:rPr>
        <w:t xml:space="preserve">призывной комиссии по мобилизации граждан Российской Федерации </w:t>
      </w:r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rFonts w:cs="Liberation Serif" w:ascii="Liberation Serif" w:hAnsi="Liberation Serif"/>
          <w:b/>
          <w:sz w:val="24"/>
          <w:szCs w:val="24"/>
        </w:rPr>
        <w:t>в Тугулымском муниципальном округе</w:t>
      </w:r>
    </w:p>
    <w:p>
      <w:pPr>
        <w:pStyle w:val="Normal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ab/>
        <w:t>Поздеев Алексей Николаевич – глава Тугулымского муниципального округа, председатель комиссии;</w:t>
      </w:r>
    </w:p>
    <w:p>
      <w:pPr>
        <w:pStyle w:val="Normal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ab/>
        <w:t>Харитонов Сергей Владьевич – военный комиссар Талицкого и Тугулымского районов Свердловской области, заместитель председателя комиссии (по согласованию);</w:t>
      </w:r>
    </w:p>
    <w:p>
      <w:pPr>
        <w:pStyle w:val="Normal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ab/>
        <w:t>Большакова Светлана Павловна – старший помощник военного комиссара Талицкого и Тугулымского районов Свердловской области по финансово-экономической, социальной и правовой работе, секретарь комиссии (по согласованию);</w:t>
      </w:r>
    </w:p>
    <w:p>
      <w:pPr>
        <w:pStyle w:val="Normal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ab/>
        <w:t>Члены комиссии:</w:t>
      </w:r>
    </w:p>
    <w:p>
      <w:pPr>
        <w:pStyle w:val="Normal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ind w:firstLine="708"/>
        <w:jc w:val="both"/>
        <w:rPr>
          <w:rFonts w:ascii="Liberation Serif" w:hAnsi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Бабенко Роман Анатольевич – исполняющий обязанности начальника ОМВД России «Тугулымский» (по согласованию);</w:t>
      </w:r>
    </w:p>
    <w:p>
      <w:pPr>
        <w:pStyle w:val="Normal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 xml:space="preserve">         </w:t>
      </w:r>
      <w:r>
        <w:rPr>
          <w:rFonts w:cs="Liberation Serif" w:ascii="Liberation Serif" w:hAnsi="Liberation Serif"/>
          <w:sz w:val="24"/>
          <w:szCs w:val="24"/>
        </w:rPr>
        <w:t>Барахоев Ахмед Юнусович – прокурор Тугулымского района, советник юстиции (по согласованию);</w:t>
      </w:r>
    </w:p>
    <w:p>
      <w:pPr>
        <w:pStyle w:val="Normal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ab/>
        <w:t>Лихачев Александр Павлович – начальник отделения в г.Богдановиче УФСБ РФ по Свердловской области (по согласованию);</w:t>
      </w:r>
    </w:p>
    <w:p>
      <w:pPr>
        <w:pStyle w:val="Normal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ab/>
        <w:t>Сысоев Алексей Васильевич – начальник отдела ГО и ЧС администрации Тугулымского муниципального округа;</w:t>
      </w:r>
    </w:p>
    <w:p>
      <w:pPr>
        <w:pStyle w:val="Normal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ab/>
        <w:t>Титарь Елена Анатольевна –   исполняющий обязанности главного врача ГАУЗ СО «Тугулымская ЦРБ» (по согласованию).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ab/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ab/>
      </w:r>
      <w:bookmarkStart w:id="2" w:name="_Hlk223596272"/>
      <w:bookmarkEnd w:id="2"/>
    </w:p>
    <w:p>
      <w:pPr>
        <w:pStyle w:val="Heading2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sectPr>
      <w:type w:val="nextPage"/>
      <w:pgSz w:w="11906" w:h="16838"/>
      <w:pgMar w:left="1418" w:right="850" w:gutter="0" w:header="0" w:top="142" w:footer="0" w:bottom="851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XO Thames">
    <w:charset w:val="01" w:characterSet="utf-8"/>
    <w:family w:val="roman"/>
    <w:pitch w:val="variable"/>
  </w:font>
  <w:font w:name="Arial">
    <w:charset w:val="01" w:characterSet="utf-8"/>
    <w:family w:val="swiss"/>
    <w:pitch w:val="variable"/>
  </w:font>
  <w:font w:name="Segoe UI">
    <w:charset w:val="01" w:characterSet="utf-8"/>
    <w:family w:val="swiss"/>
    <w:pitch w:val="variable"/>
  </w:font>
  <w:font w:name="Liberation Sans">
    <w:altName w:val="Arial"/>
    <w:charset w:val="01" w:characterSet="utf-8"/>
    <w:family w:val="swiss"/>
    <w:pitch w:val="variable"/>
  </w:font>
</w:fonts>
</file>

<file path=word/settings.xml><?xml version="1.0" encoding="utf-8"?>
<w:settings xmlns:w="http://schemas.openxmlformats.org/wordprocessingml/2006/main">
  <w:zoom w:percent="172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color w:val="000000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link w:val="1"/>
    <w:qFormat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000000"/>
      <w:kern w:val="0"/>
      <w:sz w:val="24"/>
      <w:szCs w:val="20"/>
      <w:lang w:val="ru-RU" w:eastAsia="ru-RU" w:bidi="ar-SA"/>
    </w:rPr>
  </w:style>
  <w:style w:type="paragraph" w:styleId="Heading1">
    <w:name w:val="heading 1"/>
    <w:basedOn w:val="Normal"/>
    <w:next w:val="Normal"/>
    <w:link w:val="11"/>
    <w:uiPriority w:val="9"/>
    <w:qFormat/>
    <w:pPr>
      <w:keepNext w:val="true"/>
      <w:jc w:val="center"/>
      <w:outlineLvl w:val="0"/>
    </w:pPr>
    <w:rPr>
      <w:b/>
      <w:sz w:val="28"/>
    </w:rPr>
  </w:style>
  <w:style w:type="paragraph" w:styleId="Heading2">
    <w:name w:val="heading 2"/>
    <w:basedOn w:val="Normal"/>
    <w:next w:val="Normal"/>
    <w:link w:val="23"/>
    <w:uiPriority w:val="9"/>
    <w:qFormat/>
    <w:pPr>
      <w:keepNext w:val="true"/>
      <w:jc w:val="center"/>
      <w:outlineLvl w:val="1"/>
    </w:pPr>
    <w:rPr>
      <w:b/>
    </w:rPr>
  </w:style>
  <w:style w:type="paragraph" w:styleId="Heading3">
    <w:name w:val="heading 3"/>
    <w:next w:val="Normal"/>
    <w:link w:val="3"/>
    <w:uiPriority w:val="9"/>
    <w:qFormat/>
    <w:pPr>
      <w:widowControl/>
      <w:suppressAutoHyphens w:val="true"/>
      <w:bidi w:val="0"/>
      <w:spacing w:before="120" w:after="120"/>
      <w:jc w:val="both"/>
      <w:outlineLvl w:val="2"/>
    </w:pPr>
    <w:rPr>
      <w:rFonts w:ascii="XO Thames" w:hAnsi="XO Thames" w:eastAsia="Times New Roman" w:cs="Times New Roman"/>
      <w:b/>
      <w:color w:val="000000"/>
      <w:kern w:val="0"/>
      <w:sz w:val="26"/>
      <w:szCs w:val="20"/>
      <w:lang w:val="ru-RU" w:eastAsia="ru-RU" w:bidi="ar-SA"/>
    </w:rPr>
  </w:style>
  <w:style w:type="paragraph" w:styleId="Heading4">
    <w:name w:val="heading 4"/>
    <w:next w:val="Normal"/>
    <w:link w:val="41"/>
    <w:uiPriority w:val="9"/>
    <w:qFormat/>
    <w:pPr>
      <w:widowControl/>
      <w:suppressAutoHyphens w:val="true"/>
      <w:bidi w:val="0"/>
      <w:spacing w:before="120" w:after="120"/>
      <w:jc w:val="both"/>
      <w:outlineLvl w:val="3"/>
    </w:pPr>
    <w:rPr>
      <w:rFonts w:ascii="XO Thames" w:hAnsi="XO Thames" w:eastAsia="Times New Roman" w:cs="Times New Roman"/>
      <w:b/>
      <w:color w:val="000000"/>
      <w:kern w:val="0"/>
      <w:sz w:val="24"/>
      <w:szCs w:val="20"/>
      <w:lang w:val="ru-RU" w:eastAsia="ru-RU" w:bidi="ar-SA"/>
    </w:rPr>
  </w:style>
  <w:style w:type="paragraph" w:styleId="Heading5">
    <w:name w:val="heading 5"/>
    <w:next w:val="Normal"/>
    <w:link w:val="5"/>
    <w:uiPriority w:val="9"/>
    <w:qFormat/>
    <w:pPr>
      <w:widowControl/>
      <w:suppressAutoHyphens w:val="true"/>
      <w:bidi w:val="0"/>
      <w:spacing w:before="120" w:after="120"/>
      <w:jc w:val="both"/>
      <w:outlineLvl w:val="4"/>
    </w:pPr>
    <w:rPr>
      <w:rFonts w:ascii="XO Thames" w:hAnsi="XO Thames" w:eastAsia="Times New Roman" w:cs="Times New Roman"/>
      <w:b/>
      <w:color w:val="000000"/>
      <w:kern w:val="0"/>
      <w:sz w:val="22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Обычный1"/>
    <w:qFormat/>
    <w:rPr>
      <w:sz w:val="24"/>
    </w:rPr>
  </w:style>
  <w:style w:type="character" w:styleId="2" w:customStyle="1">
    <w:name w:val="Оглавление 2 Знак"/>
    <w:qFormat/>
    <w:rPr>
      <w:rFonts w:ascii="XO Thames" w:hAnsi="XO Thames"/>
      <w:sz w:val="28"/>
    </w:rPr>
  </w:style>
  <w:style w:type="character" w:styleId="4" w:customStyle="1">
    <w:name w:val="Оглавление 4 Знак"/>
    <w:qFormat/>
    <w:rPr>
      <w:rFonts w:ascii="XO Thames" w:hAnsi="XO Thames"/>
      <w:sz w:val="28"/>
    </w:rPr>
  </w:style>
  <w:style w:type="character" w:styleId="6" w:customStyle="1">
    <w:name w:val="Оглавление 6 Знак"/>
    <w:qFormat/>
    <w:rPr>
      <w:rFonts w:ascii="XO Thames" w:hAnsi="XO Thames"/>
      <w:sz w:val="28"/>
    </w:rPr>
  </w:style>
  <w:style w:type="character" w:styleId="7" w:customStyle="1">
    <w:name w:val="Оглавление 7 Знак"/>
    <w:qFormat/>
    <w:rPr>
      <w:rFonts w:ascii="XO Thames" w:hAnsi="XO Thames"/>
      <w:sz w:val="28"/>
    </w:rPr>
  </w:style>
  <w:style w:type="character" w:styleId="Style9" w:customStyle="1">
    <w:name w:val="Прижатый влево"/>
    <w:basedOn w:val="1"/>
    <w:link w:val="14"/>
    <w:qFormat/>
    <w:rPr>
      <w:rFonts w:ascii="Arial" w:hAnsi="Arial"/>
      <w:sz w:val="20"/>
    </w:rPr>
  </w:style>
  <w:style w:type="character" w:styleId="Style10" w:customStyle="1">
    <w:name w:val="Название Знак"/>
    <w:link w:val="15"/>
    <w:qFormat/>
    <w:rPr>
      <w:b/>
      <w:sz w:val="40"/>
    </w:rPr>
  </w:style>
  <w:style w:type="character" w:styleId="Endnote" w:customStyle="1">
    <w:name w:val="Endnote"/>
    <w:link w:val="Endnote1"/>
    <w:qFormat/>
    <w:rPr>
      <w:rFonts w:ascii="XO Thames" w:hAnsi="XO Thames"/>
      <w:sz w:val="22"/>
    </w:rPr>
  </w:style>
  <w:style w:type="character" w:styleId="3" w:customStyle="1">
    <w:name w:val="Заголовок 3 Знак"/>
    <w:qFormat/>
    <w:rPr>
      <w:rFonts w:ascii="XO Thames" w:hAnsi="XO Thames"/>
      <w:b/>
      <w:sz w:val="26"/>
    </w:rPr>
  </w:style>
  <w:style w:type="character" w:styleId="31" w:customStyle="1">
    <w:name w:val="Оглавление 3 Знак"/>
    <w:qFormat/>
    <w:rPr>
      <w:rFonts w:ascii="XO Thames" w:hAnsi="XO Thames"/>
      <w:sz w:val="28"/>
    </w:rPr>
  </w:style>
  <w:style w:type="character" w:styleId="5" w:customStyle="1">
    <w:name w:val="Заголовок 5 Знак"/>
    <w:qFormat/>
    <w:rPr>
      <w:rFonts w:ascii="XO Thames" w:hAnsi="XO Thames"/>
      <w:b/>
      <w:sz w:val="22"/>
    </w:rPr>
  </w:style>
  <w:style w:type="character" w:styleId="Style11" w:customStyle="1">
    <w:name w:val="Текст выноски Знак"/>
    <w:basedOn w:val="1"/>
    <w:link w:val="BalloonText"/>
    <w:qFormat/>
    <w:rPr>
      <w:rFonts w:ascii="Segoe UI" w:hAnsi="Segoe UI"/>
      <w:sz w:val="18"/>
    </w:rPr>
  </w:style>
  <w:style w:type="character" w:styleId="11" w:customStyle="1">
    <w:name w:val="Заголовок 1 Знак"/>
    <w:basedOn w:val="1"/>
    <w:qFormat/>
    <w:rPr>
      <w:b/>
      <w:sz w:val="28"/>
    </w:rPr>
  </w:style>
  <w:style w:type="character" w:styleId="Hyperlink">
    <w:name w:val="Hyperlink"/>
    <w:link w:val="16"/>
    <w:rPr>
      <w:color w:val="0000FF"/>
      <w:u w:val="single"/>
    </w:rPr>
  </w:style>
  <w:style w:type="character" w:styleId="Footnote" w:customStyle="1">
    <w:name w:val="Footnote"/>
    <w:link w:val="Footnote1"/>
    <w:qFormat/>
    <w:rPr>
      <w:rFonts w:ascii="XO Thames" w:hAnsi="XO Thames"/>
      <w:sz w:val="22"/>
    </w:rPr>
  </w:style>
  <w:style w:type="character" w:styleId="12" w:customStyle="1">
    <w:name w:val="Оглавление 1 Знак"/>
    <w:qFormat/>
    <w:rPr>
      <w:rFonts w:ascii="XO Thames" w:hAnsi="XO Thames"/>
      <w:b/>
      <w:sz w:val="28"/>
    </w:rPr>
  </w:style>
  <w:style w:type="character" w:styleId="Style12" w:customStyle="1">
    <w:name w:val="Обычный (Интернет) Знак"/>
    <w:basedOn w:val="1"/>
    <w:link w:val="NormalWeb"/>
    <w:qFormat/>
    <w:rPr>
      <w:sz w:val="24"/>
    </w:rPr>
  </w:style>
  <w:style w:type="character" w:styleId="HeaderandFooter" w:customStyle="1">
    <w:name w:val="Header and Footer"/>
    <w:qFormat/>
    <w:rPr>
      <w:rFonts w:ascii="XO Thames" w:hAnsi="XO Thames"/>
      <w:sz w:val="28"/>
    </w:rPr>
  </w:style>
  <w:style w:type="character" w:styleId="9" w:customStyle="1">
    <w:name w:val="Оглавление 9 Знак"/>
    <w:qFormat/>
    <w:rPr>
      <w:rFonts w:ascii="XO Thames" w:hAnsi="XO Thames"/>
      <w:sz w:val="28"/>
    </w:rPr>
  </w:style>
  <w:style w:type="character" w:styleId="21" w:customStyle="1">
    <w:name w:val="Основной текст с отступом 2 Знак"/>
    <w:basedOn w:val="1"/>
    <w:link w:val="BodyTextIndent2"/>
    <w:qFormat/>
    <w:rPr>
      <w:sz w:val="24"/>
    </w:rPr>
  </w:style>
  <w:style w:type="character" w:styleId="8" w:customStyle="1">
    <w:name w:val="Оглавление 8 Знак"/>
    <w:qFormat/>
    <w:rPr>
      <w:rFonts w:ascii="XO Thames" w:hAnsi="XO Thames"/>
      <w:sz w:val="28"/>
    </w:rPr>
  </w:style>
  <w:style w:type="character" w:styleId="51" w:customStyle="1">
    <w:name w:val="Оглавление 5 Знак"/>
    <w:qFormat/>
    <w:rPr>
      <w:rFonts w:ascii="XO Thames" w:hAnsi="XO Thames"/>
      <w:sz w:val="28"/>
    </w:rPr>
  </w:style>
  <w:style w:type="character" w:styleId="22" w:customStyle="1">
    <w:name w:val="Основной текст 2 Знак"/>
    <w:basedOn w:val="1"/>
    <w:link w:val="BodyText2"/>
    <w:qFormat/>
    <w:rPr>
      <w:sz w:val="24"/>
    </w:rPr>
  </w:style>
  <w:style w:type="character" w:styleId="Style13" w:customStyle="1">
    <w:name w:val="Основной текст Знак"/>
    <w:basedOn w:val="1"/>
    <w:qFormat/>
    <w:rPr>
      <w:sz w:val="20"/>
    </w:rPr>
  </w:style>
  <w:style w:type="character" w:styleId="Style14" w:customStyle="1">
    <w:name w:val="Основной текст с отступом Знак"/>
    <w:basedOn w:val="1"/>
    <w:qFormat/>
    <w:rPr>
      <w:sz w:val="24"/>
    </w:rPr>
  </w:style>
  <w:style w:type="character" w:styleId="Style15" w:customStyle="1">
    <w:name w:val="Подзаголовок Знак"/>
    <w:qFormat/>
    <w:rPr>
      <w:rFonts w:ascii="XO Thames" w:hAnsi="XO Thames"/>
      <w:i/>
      <w:sz w:val="24"/>
    </w:rPr>
  </w:style>
  <w:style w:type="character" w:styleId="Style16" w:customStyle="1">
    <w:name w:val="Заголовок Знак"/>
    <w:basedOn w:val="1"/>
    <w:qFormat/>
    <w:rPr>
      <w:b/>
      <w:sz w:val="24"/>
    </w:rPr>
  </w:style>
  <w:style w:type="character" w:styleId="41" w:customStyle="1">
    <w:name w:val="Заголовок 4 Знак"/>
    <w:qFormat/>
    <w:rPr>
      <w:rFonts w:ascii="XO Thames" w:hAnsi="XO Thames"/>
      <w:b/>
      <w:sz w:val="24"/>
    </w:rPr>
  </w:style>
  <w:style w:type="character" w:styleId="13" w:customStyle="1">
    <w:name w:val="Основной текст1"/>
    <w:basedOn w:val="1"/>
    <w:link w:val="111"/>
    <w:qFormat/>
    <w:rPr>
      <w:sz w:val="26"/>
    </w:rPr>
  </w:style>
  <w:style w:type="character" w:styleId="23" w:customStyle="1">
    <w:name w:val="Заголовок 2 Знак"/>
    <w:basedOn w:val="1"/>
    <w:qFormat/>
    <w:rPr>
      <w:b/>
      <w:sz w:val="24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link w:val="Style13"/>
    <w:pPr>
      <w:jc w:val="both"/>
    </w:pPr>
    <w:rPr>
      <w:sz w:val="20"/>
    </w:rPr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Noto Sans"/>
    </w:rPr>
  </w:style>
  <w:style w:type="paragraph" w:styleId="Title">
    <w:name w:val="Title"/>
    <w:basedOn w:val="Normal"/>
    <w:next w:val="BodyText"/>
    <w:link w:val="Style16"/>
    <w:uiPriority w:val="10"/>
    <w:qFormat/>
    <w:pPr>
      <w:jc w:val="center"/>
    </w:pPr>
    <w:rPr>
      <w:b/>
    </w:rPr>
  </w:style>
  <w:style w:type="paragraph" w:styleId="IndexHeading">
    <w:name w:val="index heading"/>
    <w:basedOn w:val="Normal"/>
    <w:qFormat/>
    <w:pPr>
      <w:suppressLineNumbers/>
    </w:pPr>
    <w:rPr>
      <w:rFonts w:cs="Noto Sans"/>
    </w:rPr>
  </w:style>
  <w:style w:type="paragraph" w:styleId="TOC2">
    <w:name w:val="toc 2"/>
    <w:next w:val="Normal"/>
    <w:link w:val="2"/>
    <w:uiPriority w:val="39"/>
    <w:pPr>
      <w:widowControl/>
      <w:suppressAutoHyphens w:val="true"/>
      <w:bidi w:val="0"/>
      <w:spacing w:before="0" w:after="0"/>
      <w:ind w:start="200"/>
      <w:jc w:val="star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TOC4">
    <w:name w:val="toc 4"/>
    <w:next w:val="Normal"/>
    <w:link w:val="4"/>
    <w:uiPriority w:val="39"/>
    <w:pPr>
      <w:widowControl/>
      <w:suppressAutoHyphens w:val="true"/>
      <w:bidi w:val="0"/>
      <w:spacing w:before="0" w:after="0"/>
      <w:ind w:start="600"/>
      <w:jc w:val="star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TOC6">
    <w:name w:val="toc 6"/>
    <w:next w:val="Normal"/>
    <w:link w:val="6"/>
    <w:uiPriority w:val="39"/>
    <w:pPr>
      <w:widowControl/>
      <w:suppressAutoHyphens w:val="true"/>
      <w:bidi w:val="0"/>
      <w:spacing w:before="0" w:after="0"/>
      <w:ind w:start="1000"/>
      <w:jc w:val="star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TOC7">
    <w:name w:val="toc 7"/>
    <w:next w:val="Normal"/>
    <w:link w:val="7"/>
    <w:uiPriority w:val="39"/>
    <w:pPr>
      <w:widowControl/>
      <w:suppressAutoHyphens w:val="true"/>
      <w:bidi w:val="0"/>
      <w:spacing w:before="0" w:after="0"/>
      <w:ind w:start="1200"/>
      <w:jc w:val="star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14" w:customStyle="1">
    <w:name w:val="Прижатый влево1"/>
    <w:basedOn w:val="Normal"/>
    <w:next w:val="Normal"/>
    <w:link w:val="Style9"/>
    <w:qFormat/>
    <w:pPr/>
    <w:rPr>
      <w:rFonts w:ascii="Arial" w:hAnsi="Arial"/>
      <w:sz w:val="20"/>
    </w:rPr>
  </w:style>
  <w:style w:type="paragraph" w:styleId="15" w:customStyle="1">
    <w:name w:val="Название Знак1"/>
    <w:link w:val="Style10"/>
    <w:qFormat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b/>
      <w:color w:val="000000"/>
      <w:kern w:val="0"/>
      <w:sz w:val="40"/>
      <w:szCs w:val="20"/>
      <w:lang w:val="ru-RU" w:eastAsia="ru-RU" w:bidi="ar-SA"/>
    </w:rPr>
  </w:style>
  <w:style w:type="paragraph" w:styleId="Endnote1" w:customStyle="1">
    <w:name w:val="Endnote1"/>
    <w:link w:val="Endnote"/>
    <w:qFormat/>
    <w:pPr>
      <w:widowControl/>
      <w:suppressAutoHyphens w:val="true"/>
      <w:bidi w:val="0"/>
      <w:spacing w:before="0" w:after="0"/>
      <w:ind w:firstLine="851"/>
      <w:jc w:val="both"/>
    </w:pPr>
    <w:rPr>
      <w:rFonts w:ascii="XO Thames" w:hAnsi="XO Thames" w:eastAsia="Times New Roman" w:cs="Times New Roman"/>
      <w:color w:val="000000"/>
      <w:kern w:val="0"/>
      <w:sz w:val="22"/>
      <w:szCs w:val="20"/>
      <w:lang w:val="ru-RU" w:eastAsia="ru-RU" w:bidi="ar-SA"/>
    </w:rPr>
  </w:style>
  <w:style w:type="paragraph" w:styleId="TOC3">
    <w:name w:val="toc 3"/>
    <w:next w:val="Normal"/>
    <w:link w:val="31"/>
    <w:uiPriority w:val="39"/>
    <w:pPr>
      <w:widowControl/>
      <w:suppressAutoHyphens w:val="true"/>
      <w:bidi w:val="0"/>
      <w:spacing w:before="0" w:after="0"/>
      <w:ind w:start="400"/>
      <w:jc w:val="star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BalloonText">
    <w:name w:val="Balloon Text"/>
    <w:basedOn w:val="Normal"/>
    <w:link w:val="Style11"/>
    <w:qFormat/>
    <w:pPr/>
    <w:rPr>
      <w:rFonts w:ascii="Segoe UI" w:hAnsi="Segoe UI"/>
      <w:sz w:val="18"/>
    </w:rPr>
  </w:style>
  <w:style w:type="paragraph" w:styleId="16" w:customStyle="1">
    <w:name w:val="Гиперссылка1"/>
    <w:qFormat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0000FF"/>
      <w:kern w:val="0"/>
      <w:sz w:val="20"/>
      <w:szCs w:val="20"/>
      <w:u w:val="single"/>
      <w:lang w:val="ru-RU" w:eastAsia="ru-RU" w:bidi="ar-SA"/>
    </w:rPr>
  </w:style>
  <w:style w:type="paragraph" w:styleId="Footnote1" w:customStyle="1">
    <w:name w:val="Footnote1"/>
    <w:link w:val="Footnote"/>
    <w:qFormat/>
    <w:pPr>
      <w:widowControl/>
      <w:suppressAutoHyphens w:val="true"/>
      <w:bidi w:val="0"/>
      <w:spacing w:before="0" w:after="0"/>
      <w:ind w:firstLine="851"/>
      <w:jc w:val="both"/>
    </w:pPr>
    <w:rPr>
      <w:rFonts w:ascii="XO Thames" w:hAnsi="XO Thames" w:eastAsia="Times New Roman" w:cs="Times New Roman"/>
      <w:color w:val="000000"/>
      <w:kern w:val="0"/>
      <w:sz w:val="22"/>
      <w:szCs w:val="20"/>
      <w:lang w:val="ru-RU" w:eastAsia="ru-RU" w:bidi="ar-SA"/>
    </w:rPr>
  </w:style>
  <w:style w:type="paragraph" w:styleId="TOC1">
    <w:name w:val="toc 1"/>
    <w:next w:val="Normal"/>
    <w:link w:val="12"/>
    <w:uiPriority w:val="39"/>
    <w:pPr>
      <w:widowControl/>
      <w:suppressAutoHyphens w:val="true"/>
      <w:bidi w:val="0"/>
      <w:spacing w:before="0" w:after="0"/>
      <w:jc w:val="start"/>
    </w:pPr>
    <w:rPr>
      <w:rFonts w:ascii="XO Thames" w:hAnsi="XO Thames" w:eastAsia="Times New Roman" w:cs="Times New Roman"/>
      <w:b/>
      <w:color w:val="000000"/>
      <w:kern w:val="0"/>
      <w:sz w:val="28"/>
      <w:szCs w:val="20"/>
      <w:lang w:val="ru-RU" w:eastAsia="ru-RU" w:bidi="ar-SA"/>
    </w:rPr>
  </w:style>
  <w:style w:type="paragraph" w:styleId="NormalWeb">
    <w:name w:val="Normal (Web)"/>
    <w:basedOn w:val="Normal"/>
    <w:link w:val="Style12"/>
    <w:qFormat/>
    <w:pPr>
      <w:spacing w:beforeAutospacing="1" w:afterAutospacing="1"/>
    </w:pPr>
    <w:rPr/>
  </w:style>
  <w:style w:type="paragraph" w:styleId="user" w:customStyle="1">
    <w:name w:val="Колонтитулы (user)"/>
    <w:qFormat/>
    <w:pPr>
      <w:widowControl/>
      <w:suppressAutoHyphens w:val="true"/>
      <w:bidi w:val="0"/>
      <w:spacing w:before="0" w:after="0"/>
      <w:jc w:val="both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TOC9">
    <w:name w:val="toc 9"/>
    <w:next w:val="Normal"/>
    <w:link w:val="9"/>
    <w:uiPriority w:val="39"/>
    <w:pPr>
      <w:widowControl/>
      <w:suppressAutoHyphens w:val="true"/>
      <w:bidi w:val="0"/>
      <w:spacing w:before="0" w:after="0"/>
      <w:ind w:start="1600"/>
      <w:jc w:val="star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BodyTextIndent2">
    <w:name w:val="Body Text Indent 2"/>
    <w:basedOn w:val="Normal"/>
    <w:link w:val="21"/>
    <w:qFormat/>
    <w:pPr>
      <w:tabs>
        <w:tab w:val="clear" w:pos="708"/>
        <w:tab w:val="left" w:pos="0" w:leader="none"/>
      </w:tabs>
      <w:ind w:firstLine="720"/>
      <w:jc w:val="both"/>
    </w:pPr>
    <w:rPr/>
  </w:style>
  <w:style w:type="paragraph" w:styleId="TOC8">
    <w:name w:val="toc 8"/>
    <w:next w:val="Normal"/>
    <w:link w:val="8"/>
    <w:uiPriority w:val="39"/>
    <w:pPr>
      <w:widowControl/>
      <w:suppressAutoHyphens w:val="true"/>
      <w:bidi w:val="0"/>
      <w:spacing w:before="0" w:after="0"/>
      <w:ind w:start="1400"/>
      <w:jc w:val="star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17" w:customStyle="1">
    <w:name w:val="Основной шрифт абзаца1"/>
    <w:qFormat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TOC5">
    <w:name w:val="toc 5"/>
    <w:next w:val="Normal"/>
    <w:link w:val="51"/>
    <w:uiPriority w:val="39"/>
    <w:pPr>
      <w:widowControl/>
      <w:suppressAutoHyphens w:val="true"/>
      <w:bidi w:val="0"/>
      <w:spacing w:before="0" w:after="0"/>
      <w:ind w:start="800"/>
      <w:jc w:val="star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BodyText2">
    <w:name w:val="Body Text 2"/>
    <w:basedOn w:val="Normal"/>
    <w:link w:val="22"/>
    <w:qFormat/>
    <w:pPr>
      <w:jc w:val="both"/>
    </w:pPr>
    <w:rPr/>
  </w:style>
  <w:style w:type="paragraph" w:styleId="BodyTextIndent">
    <w:name w:val="Body Text Indent"/>
    <w:basedOn w:val="Normal"/>
    <w:link w:val="Style14"/>
    <w:pPr>
      <w:ind w:firstLine="708"/>
      <w:jc w:val="both"/>
    </w:pPr>
    <w:rPr/>
  </w:style>
  <w:style w:type="paragraph" w:styleId="Subtitle">
    <w:name w:val="Subtitle"/>
    <w:next w:val="Normal"/>
    <w:link w:val="Style15"/>
    <w:uiPriority w:val="11"/>
    <w:qFormat/>
    <w:pPr>
      <w:widowControl/>
      <w:suppressAutoHyphens w:val="true"/>
      <w:bidi w:val="0"/>
      <w:spacing w:before="0" w:after="0"/>
      <w:jc w:val="both"/>
    </w:pPr>
    <w:rPr>
      <w:rFonts w:ascii="XO Thames" w:hAnsi="XO Thames" w:eastAsia="Times New Roman" w:cs="Times New Roman"/>
      <w:i/>
      <w:color w:val="000000"/>
      <w:kern w:val="0"/>
      <w:sz w:val="24"/>
      <w:szCs w:val="20"/>
      <w:lang w:val="ru-RU" w:eastAsia="ru-RU" w:bidi="ar-SA"/>
    </w:rPr>
  </w:style>
  <w:style w:type="paragraph" w:styleId="111" w:customStyle="1">
    <w:name w:val="Основной текст11"/>
    <w:basedOn w:val="Normal"/>
    <w:link w:val="13"/>
    <w:qFormat/>
    <w:pPr>
      <w:widowControl w:val="false"/>
      <w:spacing w:lineRule="exact" w:line="331" w:before="300" w:after="300"/>
    </w:pPr>
    <w:rPr>
      <w:sz w:val="26"/>
    </w:rPr>
  </w:style>
  <w:style w:type="numbering" w:styleId="Style19" w:default="1">
    <w:name w:val="Без списка"/>
    <w:uiPriority w:val="99"/>
    <w:semiHidden/>
    <w:unhideWhenUsed/>
    <w:qFormat/>
  </w:style>
  <w:style w:type="numbering" w:styleId="user1" w:customStyle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 l="0" t="0" r="0" b="0"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Application>LibreOffice/25.8.4.2$Linux_X86_64 LibreOffice_project/290daaa01b999472f0c7a3890eb6a550fd74c6df</Application>
  <AppVersion>15.0000</AppVersion>
  <Pages>2</Pages>
  <Words>371</Words>
  <Characters>2737</Characters>
  <CharactersWithSpaces>3308</CharactersWithSpaces>
  <Paragraphs>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2026-03-02T08:10:00Z</dcterms:created>
  <dc:creator>ТихоноваЕИ</dc:creator>
  <dc:description/>
  <dc:language>ru-RU</dc:language>
  <cp:lastModifiedBy/>
  <cp:lastPrinted>2026-03-03T11:32:00Z</cp:lastPrinted>
  <dcterms:modified xsi:type="dcterms:W3CDTF">2026-03-05T10:19:09Z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